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EE" w:rsidRDefault="006850A6" w:rsidP="004256EE">
      <w:pPr>
        <w:pStyle w:val="Default"/>
        <w:rPr>
          <w:rFonts w:ascii="Calibri" w:hAnsi="Calibri"/>
          <w:b/>
          <w:bCs/>
          <w:color w:val="auto"/>
          <w:sz w:val="22"/>
          <w:szCs w:val="22"/>
        </w:rPr>
      </w:pPr>
      <w:r w:rsidRPr="006850A6">
        <w:rPr>
          <w:rFonts w:ascii="Calibri" w:hAnsi="Calibri"/>
          <w:b/>
          <w:bCs/>
          <w:noProof/>
          <w:color w:val="auto"/>
          <w:sz w:val="22"/>
          <w:szCs w:val="22"/>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1481455" cy="609600"/>
            <wp:effectExtent l="19050" t="0" r="4445"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481455" cy="609600"/>
                    </a:xfrm>
                    <a:prstGeom prst="rect">
                      <a:avLst/>
                    </a:prstGeom>
                    <a:noFill/>
                  </pic:spPr>
                </pic:pic>
              </a:graphicData>
            </a:graphic>
          </wp:anchor>
        </w:drawing>
      </w:r>
    </w:p>
    <w:p w:rsidR="006850A6" w:rsidRPr="00605315" w:rsidRDefault="006850A6" w:rsidP="004256EE">
      <w:pPr>
        <w:pStyle w:val="Default"/>
        <w:rPr>
          <w:rFonts w:ascii="Calibri" w:hAnsi="Calibri"/>
          <w:b/>
          <w:bCs/>
          <w:color w:val="auto"/>
          <w:sz w:val="22"/>
          <w:szCs w:val="22"/>
        </w:rPr>
      </w:pPr>
    </w:p>
    <w:p w:rsidR="006850A6" w:rsidRDefault="006850A6" w:rsidP="004256EE">
      <w:pPr>
        <w:pStyle w:val="Default"/>
        <w:jc w:val="both"/>
        <w:rPr>
          <w:rFonts w:ascii="Calibri" w:hAnsi="Calibri"/>
          <w:b/>
          <w:bCs/>
          <w:color w:val="auto"/>
          <w:sz w:val="22"/>
          <w:szCs w:val="22"/>
        </w:rPr>
      </w:pPr>
    </w:p>
    <w:p w:rsidR="006850A6" w:rsidRDefault="006850A6" w:rsidP="004256EE">
      <w:pPr>
        <w:pStyle w:val="Default"/>
        <w:jc w:val="both"/>
        <w:rPr>
          <w:rFonts w:ascii="Calibri" w:hAnsi="Calibri"/>
          <w:b/>
          <w:bCs/>
          <w:color w:val="auto"/>
          <w:sz w:val="22"/>
          <w:szCs w:val="22"/>
        </w:rPr>
      </w:pPr>
    </w:p>
    <w:p w:rsidR="004256EE" w:rsidRPr="00605315" w:rsidRDefault="005C1A98" w:rsidP="006850A6">
      <w:pPr>
        <w:pStyle w:val="Heading1"/>
        <w:spacing w:before="0"/>
      </w:pPr>
      <w:r>
        <w:t>Annex</w:t>
      </w:r>
      <w:r w:rsidR="004256EE" w:rsidRPr="00605315">
        <w:t xml:space="preserve"> C: Legislation </w:t>
      </w:r>
    </w:p>
    <w:p w:rsidR="004256EE" w:rsidRPr="00605315" w:rsidRDefault="004256EE" w:rsidP="004256EE">
      <w:pPr>
        <w:pStyle w:val="Default"/>
        <w:jc w:val="both"/>
        <w:rPr>
          <w:rFonts w:ascii="Calibri" w:hAnsi="Calibri"/>
          <w:color w:val="auto"/>
          <w:sz w:val="22"/>
          <w:szCs w:val="22"/>
        </w:rPr>
      </w:pPr>
    </w:p>
    <w:p w:rsidR="004256EE" w:rsidRPr="00605315" w:rsidRDefault="004256EE" w:rsidP="004256EE">
      <w:pPr>
        <w:pStyle w:val="Default"/>
        <w:jc w:val="both"/>
        <w:rPr>
          <w:rFonts w:ascii="Calibri" w:hAnsi="Calibri"/>
          <w:color w:val="auto"/>
          <w:sz w:val="22"/>
          <w:szCs w:val="22"/>
        </w:rPr>
      </w:pPr>
      <w:r w:rsidRPr="00605315">
        <w:rPr>
          <w:rFonts w:ascii="Calibri" w:hAnsi="Calibri"/>
          <w:color w:val="auto"/>
          <w:sz w:val="22"/>
          <w:szCs w:val="22"/>
        </w:rPr>
        <w:t xml:space="preserve">The offence of Abuse of Trust was introduced into the criminal law by the Sexual Offences (Amendment) Act 2000, which came into effect on 1 January 2001. The offence criminalised </w:t>
      </w:r>
      <w:r w:rsidRPr="006850A6">
        <w:rPr>
          <w:rFonts w:ascii="Calibri" w:hAnsi="Calibri"/>
          <w:i/>
          <w:iCs/>
          <w:color w:val="auto"/>
          <w:sz w:val="22"/>
          <w:szCs w:val="22"/>
        </w:rPr>
        <w:t>consensua</w:t>
      </w:r>
      <w:r w:rsidRPr="006850A6">
        <w:rPr>
          <w:rFonts w:ascii="Calibri" w:hAnsi="Calibri"/>
          <w:i/>
          <w:color w:val="auto"/>
          <w:sz w:val="22"/>
          <w:szCs w:val="22"/>
        </w:rPr>
        <w:t xml:space="preserve">l </w:t>
      </w:r>
      <w:r w:rsidRPr="00605315">
        <w:rPr>
          <w:rFonts w:ascii="Calibri" w:hAnsi="Calibri"/>
          <w:color w:val="auto"/>
          <w:sz w:val="22"/>
          <w:szCs w:val="22"/>
        </w:rPr>
        <w:t xml:space="preserve">activity between adults (over 18 years of age) and children (aged 16 and 17 years) where the adult holds a position of trust or authority in relation to certain designated positions and establishments such as a child in a residential home or detention centre or in an educational establishment. </w:t>
      </w:r>
    </w:p>
    <w:p w:rsidR="004256EE" w:rsidRPr="006850A6" w:rsidRDefault="004256EE" w:rsidP="004256EE">
      <w:pPr>
        <w:pStyle w:val="Default"/>
        <w:jc w:val="both"/>
        <w:rPr>
          <w:rFonts w:ascii="Calibri" w:hAnsi="Calibri"/>
          <w:color w:val="auto"/>
          <w:sz w:val="16"/>
          <w:szCs w:val="16"/>
        </w:rPr>
      </w:pPr>
    </w:p>
    <w:p w:rsidR="004256EE" w:rsidRDefault="004256EE" w:rsidP="004256EE">
      <w:pPr>
        <w:pStyle w:val="ListParagraph"/>
        <w:spacing w:after="0" w:line="240" w:lineRule="auto"/>
        <w:ind w:left="0"/>
        <w:jc w:val="both"/>
      </w:pPr>
      <w:r w:rsidRPr="00605315">
        <w:t>Following a comprehensive review of sexual offences legislation, the abuse of positions of trust provision was re-enacted as part of the Sexual Offences (Amendments) Act 2003 (in Northern Ireland the provisions were again re-enacted in the Sexual Offences (NI) Order 2008 which codified in one statue NI sexual offences law). As part of the review which led to the introduction of new legislation, the scope of the offence of abuse of trust was extended. It now prohibits sexual activity in defined circumstances where an adult regularly looks after a child on an individual basis or where the adult, in the course of his/her duties has regular, unsupervised contact with a child, for example Connexions workers (in England).</w:t>
      </w:r>
    </w:p>
    <w:p w:rsidR="004256EE" w:rsidRPr="00253675" w:rsidRDefault="004256EE" w:rsidP="009D7DC0">
      <w:pPr>
        <w:spacing w:after="0" w:line="240" w:lineRule="auto"/>
      </w:pPr>
    </w:p>
    <w:p w:rsidR="004256EE" w:rsidRPr="00253675" w:rsidRDefault="004256EE" w:rsidP="009D7DC0">
      <w:pPr>
        <w:spacing w:after="0" w:line="240" w:lineRule="auto"/>
      </w:pPr>
    </w:p>
    <w:p w:rsidR="004256EE" w:rsidRPr="00253675" w:rsidRDefault="004256EE" w:rsidP="009D7DC0">
      <w:pPr>
        <w:spacing w:after="0" w:line="240" w:lineRule="auto"/>
      </w:pPr>
    </w:p>
    <w:p w:rsidR="004256EE" w:rsidRDefault="004256EE" w:rsidP="009D7DC0">
      <w:pPr>
        <w:spacing w:after="0" w:line="240" w:lineRule="auto"/>
      </w:pPr>
    </w:p>
    <w:p w:rsidR="006850A6" w:rsidRDefault="006850A6" w:rsidP="009D7DC0">
      <w:pPr>
        <w:spacing w:after="0" w:line="240" w:lineRule="auto"/>
      </w:pPr>
    </w:p>
    <w:p w:rsidR="006850A6" w:rsidRDefault="006850A6" w:rsidP="009D7DC0">
      <w:pPr>
        <w:spacing w:after="0" w:line="240" w:lineRule="auto"/>
      </w:pPr>
    </w:p>
    <w:p w:rsidR="006850A6" w:rsidRDefault="006850A6" w:rsidP="009D7DC0">
      <w:pPr>
        <w:spacing w:after="0" w:line="240" w:lineRule="auto"/>
      </w:pPr>
    </w:p>
    <w:p w:rsidR="006850A6" w:rsidRDefault="006850A6" w:rsidP="009D7DC0">
      <w:pPr>
        <w:spacing w:after="0" w:line="240" w:lineRule="auto"/>
      </w:pPr>
    </w:p>
    <w:p w:rsidR="006850A6" w:rsidRPr="00253675" w:rsidRDefault="006850A6" w:rsidP="009D7DC0">
      <w:pPr>
        <w:spacing w:after="0" w:line="240" w:lineRule="auto"/>
      </w:pPr>
    </w:p>
    <w:p w:rsidR="004256EE" w:rsidRPr="00605315" w:rsidRDefault="004256EE" w:rsidP="009D7DC0">
      <w:pPr>
        <w:pStyle w:val="ListParagraph"/>
        <w:spacing w:after="0" w:line="240" w:lineRule="auto"/>
        <w:ind w:left="0"/>
        <w:jc w:val="both"/>
        <w:rPr>
          <w:b/>
        </w:rPr>
      </w:pPr>
    </w:p>
    <w:p w:rsidR="004256EE" w:rsidRPr="00605315" w:rsidRDefault="004256EE" w:rsidP="004256EE">
      <w:pPr>
        <w:pStyle w:val="ListParagraph"/>
        <w:spacing w:after="0" w:line="240" w:lineRule="auto"/>
        <w:ind w:left="0"/>
        <w:jc w:val="both"/>
        <w:rPr>
          <w:b/>
        </w:rPr>
      </w:pPr>
    </w:p>
    <w:p w:rsidR="004256EE" w:rsidRDefault="004256EE" w:rsidP="004256EE">
      <w:pPr>
        <w:pStyle w:val="Default"/>
        <w:rPr>
          <w:rFonts w:asciiTheme="minorHAnsi" w:hAnsiTheme="minorHAnsi"/>
          <w:color w:val="auto"/>
          <w:sz w:val="22"/>
          <w:szCs w:val="22"/>
        </w:rPr>
      </w:pPr>
    </w:p>
    <w:p w:rsidR="006850A6" w:rsidRDefault="006850A6"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pPr>
        <w:pStyle w:val="Default"/>
        <w:rPr>
          <w:rFonts w:asciiTheme="minorHAnsi" w:hAnsiTheme="minorHAnsi"/>
          <w:color w:val="auto"/>
          <w:sz w:val="22"/>
          <w:szCs w:val="22"/>
        </w:rPr>
      </w:pPr>
    </w:p>
    <w:p w:rsidR="009D7DC0" w:rsidRDefault="009D7DC0" w:rsidP="004256EE"/>
    <w:tbl>
      <w:tblPr>
        <w:tblW w:w="0" w:type="auto"/>
        <w:jc w:val="center"/>
        <w:tblLook w:val="00A0"/>
      </w:tblPr>
      <w:tblGrid>
        <w:gridCol w:w="1356"/>
        <w:gridCol w:w="7069"/>
      </w:tblGrid>
      <w:tr w:rsidR="004256EE" w:rsidRPr="00605315" w:rsidTr="006850A6">
        <w:trPr>
          <w:trHeight w:val="1011"/>
          <w:jc w:val="center"/>
        </w:trPr>
        <w:tc>
          <w:tcPr>
            <w:tcW w:w="1356" w:type="dxa"/>
            <w:vAlign w:val="center"/>
          </w:tcPr>
          <w:p w:rsidR="004256EE" w:rsidRPr="00605315" w:rsidRDefault="004256EE" w:rsidP="001167C7">
            <w:pPr>
              <w:rPr>
                <w:noProof/>
              </w:rPr>
            </w:pPr>
          </w:p>
          <w:p w:rsidR="004256EE" w:rsidRPr="00605315" w:rsidRDefault="004256EE" w:rsidP="001167C7">
            <w:pPr>
              <w:jc w:val="center"/>
            </w:pPr>
            <w:r>
              <w:rPr>
                <w:noProof/>
                <w:lang w:eastAsia="en-GB"/>
              </w:rPr>
              <w:drawing>
                <wp:inline distT="0" distB="0" distL="0" distR="0">
                  <wp:extent cx="704850" cy="695325"/>
                  <wp:effectExtent l="19050" t="0" r="0" b="0"/>
                  <wp:docPr id="1"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7"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4256EE" w:rsidRPr="00605315" w:rsidRDefault="004256EE" w:rsidP="001167C7">
            <w:pPr>
              <w:pStyle w:val="Default"/>
              <w:jc w:val="center"/>
              <w:rPr>
                <w:rFonts w:asciiTheme="minorHAnsi" w:hAnsiTheme="minorHAnsi"/>
                <w:sz w:val="22"/>
                <w:szCs w:val="22"/>
              </w:rPr>
            </w:pPr>
            <w:r w:rsidRPr="00605315">
              <w:rPr>
                <w:rFonts w:asciiTheme="minorHAnsi" w:hAnsiTheme="minorHAnsi" w:cs="Calibri"/>
                <w:sz w:val="22"/>
                <w:szCs w:val="22"/>
              </w:rPr>
              <w:t>Archery GB is the trading name of the Grand National Archery Society, a company limited by guarantee no. 1342150 Registered in England.</w:t>
            </w:r>
          </w:p>
        </w:tc>
      </w:tr>
    </w:tbl>
    <w:p w:rsidR="00CC0252" w:rsidRDefault="00CC0252" w:rsidP="006850A6"/>
    <w:sectPr w:rsidR="00CC0252" w:rsidSect="00CC02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F6" w:rsidRDefault="002F7DF6" w:rsidP="002F7DF6">
      <w:pPr>
        <w:spacing w:after="0" w:line="240" w:lineRule="auto"/>
      </w:pPr>
      <w:r>
        <w:separator/>
      </w:r>
    </w:p>
  </w:endnote>
  <w:endnote w:type="continuationSeparator" w:id="0">
    <w:p w:rsidR="002F7DF6" w:rsidRDefault="002F7DF6" w:rsidP="002F7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0" w:rsidRDefault="009D7DC0" w:rsidP="009D7DC0">
    <w:pPr>
      <w:pStyle w:val="Footer"/>
      <w:rPr>
        <w:sz w:val="16"/>
        <w:szCs w:val="16"/>
      </w:rPr>
    </w:pPr>
    <w:r>
      <w:rPr>
        <w:sz w:val="16"/>
        <w:szCs w:val="16"/>
      </w:rPr>
      <w:t>Archery GB Guidance Document for Safeguarding Children and Young People</w:t>
    </w:r>
  </w:p>
  <w:p w:rsidR="009D7DC0" w:rsidRDefault="009D7DC0" w:rsidP="009D7DC0">
    <w:pPr>
      <w:pStyle w:val="Footer"/>
    </w:pPr>
    <w:r>
      <w:rPr>
        <w:sz w:val="16"/>
        <w:szCs w:val="16"/>
      </w:rPr>
      <w:t>Annex C to SCG 04   “Abuse of Position of Trust in Sport - October 2014</w:t>
    </w:r>
  </w:p>
  <w:p w:rsidR="009D7DC0" w:rsidRDefault="009D7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F6" w:rsidRDefault="002F7DF6" w:rsidP="002F7DF6">
      <w:pPr>
        <w:spacing w:after="0" w:line="240" w:lineRule="auto"/>
      </w:pPr>
      <w:r>
        <w:separator/>
      </w:r>
    </w:p>
  </w:footnote>
  <w:footnote w:type="continuationSeparator" w:id="0">
    <w:p w:rsidR="002F7DF6" w:rsidRDefault="002F7DF6" w:rsidP="002F7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F6" w:rsidRDefault="002F7DF6" w:rsidP="002F7DF6">
    <w:pPr>
      <w:pStyle w:val="Header"/>
      <w:jc w:val="right"/>
    </w:pPr>
    <w:r>
      <w:t>A</w:t>
    </w:r>
    <w:r w:rsidR="00E64282">
      <w:t>nnex</w:t>
    </w:r>
    <w:r>
      <w:t xml:space="preserve"> C to SCG 0</w:t>
    </w:r>
    <w:r w:rsidR="00E64282">
      <w:t>4</w:t>
    </w:r>
    <w:r>
      <w:t xml:space="preserve"> – Abuse of </w:t>
    </w:r>
    <w:r w:rsidR="0056069D">
      <w:t>P</w:t>
    </w:r>
    <w:r>
      <w:t>ositions of Trust in Sport</w:t>
    </w:r>
  </w:p>
  <w:p w:rsidR="002F7DF6" w:rsidRDefault="002F7D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56EE"/>
    <w:rsid w:val="001D25D4"/>
    <w:rsid w:val="002F7DF6"/>
    <w:rsid w:val="00394185"/>
    <w:rsid w:val="004256EE"/>
    <w:rsid w:val="0056069D"/>
    <w:rsid w:val="005C1A98"/>
    <w:rsid w:val="006850A6"/>
    <w:rsid w:val="00790439"/>
    <w:rsid w:val="00902FC1"/>
    <w:rsid w:val="009D7DC0"/>
    <w:rsid w:val="00A82E63"/>
    <w:rsid w:val="00C000CD"/>
    <w:rsid w:val="00C13D5B"/>
    <w:rsid w:val="00CC0252"/>
    <w:rsid w:val="00CD13FD"/>
    <w:rsid w:val="00E642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EE"/>
    <w:pPr>
      <w:spacing w:after="200"/>
    </w:pPr>
    <w:rPr>
      <w:rFonts w:ascii="Calibri" w:eastAsia="Times New Roman" w:hAnsi="Calibri" w:cs="Times New Roman"/>
    </w:rPr>
  </w:style>
  <w:style w:type="paragraph" w:styleId="Heading1">
    <w:name w:val="heading 1"/>
    <w:basedOn w:val="Normal"/>
    <w:next w:val="Normal"/>
    <w:link w:val="Heading1Char"/>
    <w:uiPriority w:val="9"/>
    <w:qFormat/>
    <w:rsid w:val="00685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256EE"/>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4256EE"/>
    <w:pPr>
      <w:ind w:left="720"/>
      <w:contextualSpacing/>
    </w:pPr>
  </w:style>
  <w:style w:type="paragraph" w:styleId="BalloonText">
    <w:name w:val="Balloon Text"/>
    <w:basedOn w:val="Normal"/>
    <w:link w:val="BalloonTextChar"/>
    <w:uiPriority w:val="99"/>
    <w:semiHidden/>
    <w:unhideWhenUsed/>
    <w:rsid w:val="0042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EE"/>
    <w:rPr>
      <w:rFonts w:ascii="Tahoma" w:eastAsia="Times New Roman" w:hAnsi="Tahoma" w:cs="Tahoma"/>
      <w:sz w:val="16"/>
      <w:szCs w:val="16"/>
    </w:rPr>
  </w:style>
  <w:style w:type="paragraph" w:styleId="Header">
    <w:name w:val="header"/>
    <w:basedOn w:val="Normal"/>
    <w:link w:val="HeaderChar"/>
    <w:uiPriority w:val="99"/>
    <w:unhideWhenUsed/>
    <w:rsid w:val="002F7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F6"/>
    <w:rPr>
      <w:rFonts w:ascii="Calibri" w:eastAsia="Times New Roman" w:hAnsi="Calibri" w:cs="Times New Roman"/>
    </w:rPr>
  </w:style>
  <w:style w:type="paragraph" w:styleId="Footer">
    <w:name w:val="footer"/>
    <w:basedOn w:val="Normal"/>
    <w:link w:val="FooterChar"/>
    <w:uiPriority w:val="99"/>
    <w:unhideWhenUsed/>
    <w:rsid w:val="002F7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F6"/>
    <w:rPr>
      <w:rFonts w:ascii="Calibri" w:eastAsia="Times New Roman" w:hAnsi="Calibri" w:cs="Times New Roman"/>
    </w:rPr>
  </w:style>
  <w:style w:type="character" w:customStyle="1" w:styleId="Heading1Char">
    <w:name w:val="Heading 1 Char"/>
    <w:basedOn w:val="DefaultParagraphFont"/>
    <w:link w:val="Heading1"/>
    <w:uiPriority w:val="9"/>
    <w:rsid w:val="006850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703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collierf</dc:creator>
  <cp:keywords/>
  <dc:description/>
  <cp:lastModifiedBy>rooka</cp:lastModifiedBy>
  <cp:revision>3</cp:revision>
  <dcterms:created xsi:type="dcterms:W3CDTF">2014-09-22T10:37:00Z</dcterms:created>
  <dcterms:modified xsi:type="dcterms:W3CDTF">2014-09-25T10:15:00Z</dcterms:modified>
</cp:coreProperties>
</file>